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FC" w:rsidRDefault="003477FC" w:rsidP="003477FC">
      <w:pPr>
        <w:suppressAutoHyphens w:val="0"/>
        <w:spacing w:line="240" w:lineRule="auto"/>
        <w:jc w:val="center"/>
        <w:rPr>
          <w:rFonts w:ascii="TimesNewRomanPS-BoldItalicMT" w:eastAsia="Times New Roman" w:hAnsi="TimesNewRomanPS-BoldItalicMT"/>
          <w:b/>
          <w:bCs/>
          <w:iCs/>
          <w:color w:val="auto"/>
          <w:sz w:val="26"/>
          <w:szCs w:val="26"/>
          <w:lang w:eastAsia="ru-RU"/>
        </w:rPr>
      </w:pPr>
      <w:r>
        <w:rPr>
          <w:rFonts w:ascii="TimesNewRomanPS-BoldItalicMT" w:eastAsia="Times New Roman" w:hAnsi="TimesNewRomanPS-BoldItalicMT"/>
          <w:b/>
          <w:bCs/>
          <w:iCs/>
          <w:color w:val="auto"/>
          <w:sz w:val="26"/>
          <w:szCs w:val="26"/>
          <w:lang w:eastAsia="ru-RU"/>
        </w:rPr>
        <w:t>Сравнительный анализ результатов работы с детьми, имеющими</w:t>
      </w:r>
      <w:r>
        <w:rPr>
          <w:rFonts w:ascii="TimesNewRomanPS-BoldItalicMT" w:eastAsia="Times New Roman" w:hAnsi="TimesNewRomanPS-BoldItalicMT"/>
          <w:b/>
          <w:bCs/>
          <w:iCs/>
          <w:color w:val="auto"/>
          <w:sz w:val="26"/>
          <w:szCs w:val="26"/>
          <w:lang w:eastAsia="ru-RU"/>
        </w:rPr>
        <w:br/>
        <w:t>речевые нарушения, показал следующее:</w:t>
      </w:r>
    </w:p>
    <w:p w:rsidR="003477FC" w:rsidRDefault="003477FC" w:rsidP="003477FC">
      <w:pPr>
        <w:suppressAutoHyphens w:val="0"/>
        <w:spacing w:line="240" w:lineRule="auto"/>
        <w:jc w:val="center"/>
        <w:rPr>
          <w:rFonts w:eastAsia="Times New Roman"/>
          <w:color w:val="auto"/>
          <w:lang w:eastAsia="ru-RU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2977"/>
      </w:tblGrid>
      <w:tr w:rsidR="003477FC" w:rsidTr="003477FC">
        <w:trPr>
          <w:trHeight w:val="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FC" w:rsidRDefault="003477FC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ascii="TimesNewRomanPSMT" w:eastAsia="Times New Roman" w:hAnsi="TimesNewRomanPSMT"/>
                <w:b/>
                <w:color w:val="auto"/>
                <w:lang w:eastAsia="ru-RU"/>
              </w:rPr>
              <w:t>Показатель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FC" w:rsidRDefault="003477F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ascii="TimesNewRomanPS-BoldItalicMT" w:eastAsia="Times New Roman" w:hAnsi="TimesNewRomanPS-BoldItalicMT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FC" w:rsidRDefault="003477FC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i/>
                <w:color w:val="auto"/>
                <w:lang w:eastAsia="ru-RU"/>
              </w:rPr>
            </w:pPr>
            <w:r>
              <w:rPr>
                <w:rFonts w:eastAsia="Times New Roman"/>
                <w:b/>
                <w:i/>
                <w:color w:val="auto"/>
                <w:lang w:eastAsia="ru-RU"/>
              </w:rPr>
              <w:t>2020 год</w:t>
            </w:r>
          </w:p>
        </w:tc>
      </w:tr>
      <w:tr w:rsidR="003477FC" w:rsidTr="003477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FC" w:rsidRDefault="003477F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ascii="TimesNewRomanPSMT" w:eastAsia="Times New Roman" w:hAnsi="TimesNewRomanPSMT"/>
                <w:color w:val="auto"/>
                <w:lang w:eastAsia="ru-RU"/>
              </w:rPr>
              <w:t>Кол-во, чел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FC" w:rsidRDefault="003477F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FC" w:rsidRDefault="003477F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67</w:t>
            </w:r>
          </w:p>
        </w:tc>
      </w:tr>
      <w:tr w:rsidR="003477FC" w:rsidTr="003477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FC" w:rsidRDefault="003477F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ascii="TimesNewRomanPSMT" w:eastAsia="Times New Roman" w:hAnsi="TimesNewRomanPSMT"/>
                <w:color w:val="auto"/>
                <w:lang w:eastAsia="ru-RU"/>
              </w:rPr>
              <w:t>Зачислено детей по итогам</w:t>
            </w:r>
            <w:r>
              <w:rPr>
                <w:rFonts w:ascii="TimesNewRomanPSMT" w:eastAsia="Times New Roman" w:hAnsi="TimesNewRomanPSMT"/>
                <w:color w:val="auto"/>
                <w:lang w:eastAsia="ru-RU"/>
              </w:rPr>
              <w:br/>
              <w:t>ТПМПК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FC" w:rsidRDefault="003477F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FC" w:rsidRDefault="003477F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60</w:t>
            </w:r>
          </w:p>
        </w:tc>
      </w:tr>
      <w:tr w:rsidR="003477FC" w:rsidTr="003477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FC" w:rsidRDefault="003477FC">
            <w:pPr>
              <w:suppressAutoHyphens w:val="0"/>
              <w:spacing w:line="240" w:lineRule="auto"/>
              <w:jc w:val="center"/>
              <w:rPr>
                <w:rFonts w:ascii="TimesNewRomanPSMT" w:eastAsia="Times New Roman" w:hAnsi="TimesNewRomanPSMT"/>
                <w:color w:val="auto"/>
                <w:lang w:eastAsia="ru-RU"/>
              </w:rPr>
            </w:pPr>
            <w:r>
              <w:rPr>
                <w:rFonts w:ascii="TimesNewRomanPSMT" w:eastAsia="Times New Roman" w:hAnsi="TimesNewRomanPSMT"/>
                <w:color w:val="auto"/>
                <w:lang w:eastAsia="ru-RU"/>
              </w:rPr>
              <w:t>Прибыло 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FC" w:rsidRDefault="003477F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FC" w:rsidRDefault="003477F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</w:t>
            </w:r>
          </w:p>
        </w:tc>
      </w:tr>
      <w:tr w:rsidR="003477FC" w:rsidTr="003477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FC" w:rsidRDefault="003477F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ascii="TimesNewRomanPSMT" w:eastAsia="Times New Roman" w:hAnsi="TimesNewRomanPSMT"/>
                <w:color w:val="auto"/>
                <w:lang w:eastAsia="ru-RU"/>
              </w:rPr>
              <w:t>Выпущено с заключением</w:t>
            </w:r>
            <w:r>
              <w:rPr>
                <w:rFonts w:ascii="TimesNewRomanPSMT" w:eastAsia="Times New Roman" w:hAnsi="TimesNewRomanPSMT"/>
                <w:color w:val="auto"/>
                <w:lang w:eastAsia="ru-RU"/>
              </w:rPr>
              <w:br/>
              <w:t>«речь – норма» 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FC" w:rsidRDefault="003477F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ascii="TimesNewRomanPSMT" w:eastAsia="Times New Roman" w:hAnsi="TimesNewRomanPSMT"/>
                <w:color w:val="auto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FC" w:rsidRDefault="003477F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22</w:t>
            </w:r>
          </w:p>
        </w:tc>
      </w:tr>
      <w:tr w:rsidR="003477FC" w:rsidTr="003477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FC" w:rsidRDefault="003477F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ascii="TimesNewRomanPSMT" w:eastAsia="Times New Roman" w:hAnsi="TimesNewRomanPSMT"/>
                <w:color w:val="auto"/>
                <w:lang w:eastAsia="ru-RU"/>
              </w:rPr>
              <w:t>Оставлено на продолжение</w:t>
            </w:r>
            <w:r>
              <w:rPr>
                <w:rFonts w:ascii="TimesNewRomanPSMT" w:eastAsia="Times New Roman" w:hAnsi="TimesNewRomanPSMT"/>
                <w:color w:val="auto"/>
                <w:lang w:eastAsia="ru-RU"/>
              </w:rPr>
              <w:br/>
              <w:t>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FC" w:rsidRDefault="003477F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ascii="TimesNewRomanPSMT" w:eastAsia="Times New Roman" w:hAnsi="TimesNewRomanPSMT"/>
                <w:color w:val="auto"/>
                <w:lang w:eastAsia="ru-RU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FC" w:rsidRDefault="003477F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ascii="TimesNewRomanPSMT" w:eastAsia="Times New Roman" w:hAnsi="TimesNewRomanPSMT"/>
                <w:color w:val="auto"/>
                <w:lang w:eastAsia="ru-RU"/>
              </w:rPr>
              <w:t>47</w:t>
            </w:r>
          </w:p>
        </w:tc>
      </w:tr>
      <w:tr w:rsidR="003477FC" w:rsidTr="003477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FC" w:rsidRDefault="003477F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ascii="TimesNewRomanPSMT" w:eastAsia="Times New Roman" w:hAnsi="TimesNewRomanPSMT"/>
                <w:color w:val="auto"/>
                <w:lang w:eastAsia="ru-RU"/>
              </w:rPr>
              <w:t>Эффективность</w:t>
            </w:r>
            <w:r>
              <w:rPr>
                <w:rFonts w:ascii="TimesNewRomanPSMT" w:eastAsia="Times New Roman" w:hAnsi="TimesNewRomanPSMT"/>
                <w:color w:val="auto"/>
                <w:lang w:eastAsia="ru-RU"/>
              </w:rPr>
              <w:br/>
              <w:t>коррекционной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FC" w:rsidRDefault="003477F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92%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FC" w:rsidRDefault="003477FC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ascii="TimesNewRomanPS-BoldMT" w:eastAsia="Times New Roman" w:hAnsi="TimesNewRomanPS-BoldMT"/>
                <w:bCs/>
                <w:color w:val="auto"/>
                <w:lang w:eastAsia="ru-RU"/>
              </w:rPr>
              <w:t>93%</w:t>
            </w:r>
          </w:p>
        </w:tc>
      </w:tr>
    </w:tbl>
    <w:p w:rsidR="003477FC" w:rsidRDefault="003477FC" w:rsidP="00347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477FC" w:rsidRDefault="003477FC" w:rsidP="00347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результате проводимой работы  в 2019 / 2020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92% детей групп комбинированной направленности выпущены с чистой речью. 100% детей выпущены в школу с речью норма, что говорит о более эффективной коррекционно-развивающей работе.</w:t>
      </w:r>
    </w:p>
    <w:p w:rsidR="003477FC" w:rsidRDefault="003477FC" w:rsidP="003477FC">
      <w:pPr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 2020 уч. году. 93% детей групп комбинированной направленности выпущены с чистой речью, что на 1% выше показателя предыдущего года.</w:t>
      </w:r>
      <w:proofErr w:type="gramEnd"/>
    </w:p>
    <w:p w:rsidR="003477FC" w:rsidRDefault="003477FC" w:rsidP="003477FC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 </w:t>
      </w:r>
      <w:proofErr w:type="gramStart"/>
      <w:r>
        <w:rPr>
          <w:color w:val="auto"/>
          <w:sz w:val="28"/>
          <w:szCs w:val="28"/>
        </w:rPr>
        <w:t>детей, имеющих общее недоразвитие речи наблюдалась</w:t>
      </w:r>
      <w:proofErr w:type="gramEnd"/>
      <w:r>
        <w:rPr>
          <w:color w:val="auto"/>
          <w:sz w:val="28"/>
          <w:szCs w:val="28"/>
        </w:rPr>
        <w:t xml:space="preserve"> положительная динамика.</w:t>
      </w:r>
    </w:p>
    <w:p w:rsidR="003477FC" w:rsidRDefault="003477FC" w:rsidP="003477FC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 одного ребенка, имеющего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 xml:space="preserve"> уровень ОНР, в  2020 году по заключению ПМПК изменен диагноз на ФФН с </w:t>
      </w:r>
      <w:proofErr w:type="spellStart"/>
      <w:r>
        <w:rPr>
          <w:color w:val="auto"/>
          <w:sz w:val="28"/>
          <w:szCs w:val="28"/>
        </w:rPr>
        <w:t>дизартрическим</w:t>
      </w:r>
      <w:proofErr w:type="spellEnd"/>
      <w:r>
        <w:rPr>
          <w:color w:val="auto"/>
          <w:sz w:val="28"/>
          <w:szCs w:val="28"/>
        </w:rPr>
        <w:t xml:space="preserve"> компонентом.  </w:t>
      </w:r>
    </w:p>
    <w:p w:rsidR="003477FC" w:rsidRDefault="003477FC" w:rsidP="003477FC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 человек  с ОНР ΙΙΙ уровня были выпущены с речью норма в группу.</w:t>
      </w:r>
    </w:p>
    <w:p w:rsidR="003477FC" w:rsidRDefault="003477FC" w:rsidP="003477FC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Занятия с данными детьми проводились по индивидуальным образовательным маршрутам, составленными в соответствии с адаптированной образовательной программой для детей с ОНР.</w:t>
      </w:r>
    </w:p>
    <w:p w:rsidR="003477FC" w:rsidRDefault="003477FC" w:rsidP="00347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учебном году в МБДОУ «Детский сад №54 «Аленький цветочек» активно работал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учреждения, на заседания были представлены  249  воспитанников, что на 46 человек больше, чем в 2019г. Данная разница в показателях зависит от количества детей возраста 5 – 6 лет в текущем году.</w:t>
      </w:r>
    </w:p>
    <w:p w:rsidR="003477FC" w:rsidRDefault="003477FC" w:rsidP="00347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работы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90"/>
        <w:gridCol w:w="1462"/>
        <w:gridCol w:w="1447"/>
        <w:gridCol w:w="1462"/>
        <w:gridCol w:w="2202"/>
      </w:tblGrid>
      <w:tr w:rsidR="003477FC" w:rsidTr="003477FC">
        <w:trPr>
          <w:trHeight w:val="140"/>
        </w:trPr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C" w:rsidRDefault="003477F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Динамика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C" w:rsidRDefault="003477F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2019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C" w:rsidRDefault="003477F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2020</w:t>
            </w:r>
          </w:p>
        </w:tc>
      </w:tr>
      <w:tr w:rsidR="003477FC" w:rsidTr="003477FC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FC" w:rsidRDefault="003477FC">
            <w:pPr>
              <w:suppressAutoHyphens w:val="0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C" w:rsidRDefault="003477F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Кол-во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C" w:rsidRDefault="003477F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C" w:rsidRDefault="003477F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Кол-во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C" w:rsidRDefault="003477F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%</w:t>
            </w:r>
          </w:p>
        </w:tc>
      </w:tr>
      <w:tr w:rsidR="003477FC" w:rsidTr="003477FC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C" w:rsidRDefault="003477FC">
            <w:pPr>
              <w:rPr>
                <w:color w:val="auto"/>
              </w:rPr>
            </w:pPr>
            <w:r>
              <w:rPr>
                <w:color w:val="auto"/>
              </w:rPr>
              <w:t>Первичное обследование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C" w:rsidRDefault="003477F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C" w:rsidRDefault="003477F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36%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C" w:rsidRDefault="003477F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C" w:rsidRDefault="003477F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33%</w:t>
            </w:r>
          </w:p>
        </w:tc>
      </w:tr>
      <w:tr w:rsidR="003477FC" w:rsidTr="003477FC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C" w:rsidRDefault="003477FC">
            <w:pPr>
              <w:rPr>
                <w:color w:val="auto"/>
              </w:rPr>
            </w:pPr>
            <w:r>
              <w:rPr>
                <w:color w:val="auto"/>
              </w:rPr>
              <w:t>Положительная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C" w:rsidRDefault="003477F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C" w:rsidRDefault="003477F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48%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C" w:rsidRDefault="003477F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C" w:rsidRDefault="003477F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49%</w:t>
            </w:r>
          </w:p>
        </w:tc>
      </w:tr>
      <w:tr w:rsidR="003477FC" w:rsidTr="003477FC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C" w:rsidRDefault="003477FC">
            <w:pPr>
              <w:rPr>
                <w:color w:val="auto"/>
              </w:rPr>
            </w:pPr>
            <w:r>
              <w:rPr>
                <w:color w:val="auto"/>
              </w:rPr>
              <w:t>Волнообразная динамика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C" w:rsidRDefault="003477F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C" w:rsidRDefault="003477F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C" w:rsidRDefault="003477F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C" w:rsidRDefault="003477F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16%</w:t>
            </w:r>
          </w:p>
        </w:tc>
      </w:tr>
      <w:tr w:rsidR="003477FC" w:rsidTr="003477FC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C" w:rsidRDefault="003477FC">
            <w:pPr>
              <w:rPr>
                <w:color w:val="auto"/>
              </w:rPr>
            </w:pPr>
            <w:r>
              <w:rPr>
                <w:color w:val="auto"/>
              </w:rPr>
              <w:t>Недостаточная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C" w:rsidRDefault="003477F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C" w:rsidRDefault="003477F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C" w:rsidRDefault="003477F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C" w:rsidRDefault="003477F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2%</w:t>
            </w:r>
          </w:p>
        </w:tc>
      </w:tr>
      <w:tr w:rsidR="003477FC" w:rsidTr="003477FC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C" w:rsidRDefault="003477FC">
            <w:pPr>
              <w:rPr>
                <w:color w:val="auto"/>
              </w:rPr>
            </w:pPr>
            <w:r>
              <w:rPr>
                <w:color w:val="auto"/>
              </w:rPr>
              <w:t>Количество приемов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C" w:rsidRDefault="003477F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249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FC" w:rsidRDefault="003477F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203</w:t>
            </w:r>
          </w:p>
        </w:tc>
      </w:tr>
    </w:tbl>
    <w:p w:rsidR="003477FC" w:rsidRDefault="003477FC" w:rsidP="003477FC">
      <w:pPr>
        <w:ind w:firstLine="708"/>
        <w:jc w:val="both"/>
        <w:rPr>
          <w:color w:val="auto"/>
          <w:sz w:val="28"/>
          <w:szCs w:val="28"/>
        </w:rPr>
      </w:pPr>
    </w:p>
    <w:p w:rsidR="00CC4398" w:rsidRDefault="00CC4398">
      <w:bookmarkStart w:id="0" w:name="_GoBack"/>
      <w:bookmarkEnd w:id="0"/>
    </w:p>
    <w:sectPr w:rsidR="00CC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FC"/>
    <w:rsid w:val="00003B2F"/>
    <w:rsid w:val="00057637"/>
    <w:rsid w:val="000C244E"/>
    <w:rsid w:val="000E3A22"/>
    <w:rsid w:val="00175E98"/>
    <w:rsid w:val="00221672"/>
    <w:rsid w:val="002625B3"/>
    <w:rsid w:val="003477FC"/>
    <w:rsid w:val="004139FB"/>
    <w:rsid w:val="00451171"/>
    <w:rsid w:val="006067A6"/>
    <w:rsid w:val="00621B8F"/>
    <w:rsid w:val="006938C3"/>
    <w:rsid w:val="00790F41"/>
    <w:rsid w:val="007A304F"/>
    <w:rsid w:val="0086590F"/>
    <w:rsid w:val="00894B72"/>
    <w:rsid w:val="00944F26"/>
    <w:rsid w:val="00C01AF6"/>
    <w:rsid w:val="00C33E19"/>
    <w:rsid w:val="00CB556E"/>
    <w:rsid w:val="00CB60FB"/>
    <w:rsid w:val="00CC4398"/>
    <w:rsid w:val="00CC7D0B"/>
    <w:rsid w:val="00CE59FB"/>
    <w:rsid w:val="00D07EEB"/>
    <w:rsid w:val="00D37956"/>
    <w:rsid w:val="00DE1954"/>
    <w:rsid w:val="00E4238E"/>
    <w:rsid w:val="00E4412A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FC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FC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Бетины</dc:creator>
  <cp:lastModifiedBy>Бетины</cp:lastModifiedBy>
  <cp:revision>1</cp:revision>
  <dcterms:created xsi:type="dcterms:W3CDTF">2021-04-15T17:51:00Z</dcterms:created>
  <dcterms:modified xsi:type="dcterms:W3CDTF">2021-04-15T17:53:00Z</dcterms:modified>
</cp:coreProperties>
</file>